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0444" w14:textId="77777777" w:rsidR="00447D2A" w:rsidRPr="0094588C" w:rsidRDefault="00447D2A" w:rsidP="00447D2A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</w:pPr>
      <w:r w:rsidRPr="00945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t>NOTICE POUR REMPLIR LES INTERCALAIRES DU FORMULAIRE DE</w:t>
      </w:r>
    </w:p>
    <w:p w14:paraId="3A41A3EF" w14:textId="338E084E" w:rsidR="00447D2A" w:rsidRPr="0094588C" w:rsidRDefault="00E017A8" w:rsidP="00447D2A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t>DEMANDE DE RETABLISSEMENT PROFESSIONNEL</w:t>
      </w:r>
    </w:p>
    <w:p w14:paraId="033ACBCA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u w:val="single"/>
        </w:rPr>
      </w:pPr>
    </w:p>
    <w:p w14:paraId="01A8AE32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u w:val="single"/>
        </w:rPr>
      </w:pPr>
    </w:p>
    <w:p w14:paraId="3F2F7548" w14:textId="77777777" w:rsidR="00447D2A" w:rsidRPr="0094588C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</w:pPr>
      <w:r w:rsidRPr="0094588C"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  <w:t>Présentation des intercalaires</w:t>
      </w:r>
    </w:p>
    <w:p w14:paraId="1AB30FB6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3"/>
          <w:u w:val="single"/>
        </w:rPr>
      </w:pPr>
    </w:p>
    <w:p w14:paraId="626E8791" w14:textId="77777777" w:rsidR="00447D2A" w:rsidRPr="00447D2A" w:rsidRDefault="00447D2A" w:rsidP="00447D2A">
      <w:pPr>
        <w:pStyle w:val="Paragraphedeliste"/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Cs/>
          <w:color w:val="000000"/>
          <w:spacing w:val="1"/>
        </w:rPr>
      </w:pP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Les intercalaires dénommés </w:t>
      </w:r>
      <w:r w:rsidRPr="00447D2A">
        <w:rPr>
          <w:rFonts w:ascii="Times New Roman" w:eastAsia="Arial" w:hAnsi="Times New Roman" w:cs="Times New Roman"/>
          <w:b/>
          <w:iCs/>
          <w:color w:val="000000"/>
          <w:spacing w:val="1"/>
        </w:rPr>
        <w:t>ACTIF, PASSIF et ENGAGEMENTS HORS BILAN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sont destinés à la présentation de 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  <w:u w:val="single"/>
        </w:rPr>
        <w:t>l'inventaire sommaire des biens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du débiteur, de 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  <w:u w:val="single"/>
        </w:rPr>
        <w:t>l'état chiffré des créances et des dettes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avec l'indication des noms et des adresses des créanciers, de l'état actif des sûretés ainsi que de celui des engagements hors bilan.</w:t>
      </w:r>
    </w:p>
    <w:p w14:paraId="4553A655" w14:textId="77777777" w:rsidR="00447D2A" w:rsidRPr="00447D2A" w:rsidRDefault="00447D2A" w:rsidP="00447D2A">
      <w:pPr>
        <w:pStyle w:val="Paragraphedeliste"/>
        <w:tabs>
          <w:tab w:val="left" w:pos="360"/>
          <w:tab w:val="left" w:pos="1152"/>
        </w:tabs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/>
          <w:color w:val="000000"/>
          <w:spacing w:val="1"/>
        </w:rPr>
      </w:pPr>
    </w:p>
    <w:p w14:paraId="3520F0DB" w14:textId="77777777" w:rsidR="00447D2A" w:rsidRPr="00447D2A" w:rsidRDefault="00447D2A" w:rsidP="00447D2A">
      <w:pPr>
        <w:pStyle w:val="Paragraphedeliste"/>
        <w:tabs>
          <w:tab w:val="left" w:pos="360"/>
          <w:tab w:val="left" w:pos="1152"/>
        </w:tabs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/>
          <w:color w:val="000000"/>
          <w:spacing w:val="1"/>
        </w:rPr>
      </w:pPr>
    </w:p>
    <w:p w14:paraId="4BC4E390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>L'intercalaire ACTIF :</w:t>
      </w:r>
    </w:p>
    <w:p w14:paraId="5B5AFBA1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4C74340B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Correspond à la présentation habituelle de l'actif du bilan des entreprises. Il faut différencier l'actif disponible, c'est à dire immédiatement réalisable (créances encaissables ou mobilisables sans délai, disponibilités en banque ou en caisse).</w:t>
      </w:r>
    </w:p>
    <w:p w14:paraId="20FD5AB2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328D2A31" w14:textId="47F2825F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Si la valeur de certains actifs a varié depuis l'établissement de la dernière situation comptable ou si cette valeur ne peut être chiffrée avec précision, il doit être porté une évaluation</w:t>
      </w:r>
      <w:r w:rsidR="00072D9D">
        <w:rPr>
          <w:rFonts w:ascii="Times New Roman" w:eastAsia="Arial" w:hAnsi="Times New Roman" w:cs="Times New Roman"/>
          <w:color w:val="000000"/>
        </w:rPr>
        <w:t>.</w:t>
      </w:r>
      <w:r w:rsidRPr="00447D2A">
        <w:rPr>
          <w:rFonts w:ascii="Times New Roman" w:eastAsia="Arial" w:hAnsi="Times New Roman" w:cs="Times New Roman"/>
          <w:color w:val="000000"/>
        </w:rPr>
        <w:t xml:space="preserve"> Si une créance active est garantie par une sûreté, il y a lieu d'indiquer quelle est cette sûreté.</w:t>
      </w:r>
    </w:p>
    <w:p w14:paraId="6C98773C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3023260B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4F77478A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 xml:space="preserve">Les intercalaires PASSIF </w:t>
      </w:r>
      <w:r w:rsidRPr="0094588C">
        <w:rPr>
          <w:rFonts w:ascii="Times New Roman" w:eastAsia="Arial" w:hAnsi="Times New Roman" w:cs="Times New Roman"/>
          <w:i/>
          <w:color w:val="1F497D" w:themeColor="text2"/>
        </w:rPr>
        <w:t>sont destinés à présenter :</w:t>
      </w:r>
    </w:p>
    <w:p w14:paraId="2E006747" w14:textId="77777777" w:rsidR="00447D2A" w:rsidRPr="00447D2A" w:rsidRDefault="00447D2A" w:rsidP="00447D2A">
      <w:pPr>
        <w:tabs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6086E914" w14:textId="22C1E3A1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7D2A">
        <w:rPr>
          <w:rFonts w:ascii="Times New Roman" w:eastAsia="Times New Roman" w:hAnsi="Times New Roman" w:cs="Times New Roman"/>
          <w:color w:val="000000"/>
        </w:rPr>
        <w:t xml:space="preserve">Les dettes de l'entreprise à l'égard de créanciers garantis par des privilèges généraux, </w:t>
      </w:r>
      <w:r w:rsidR="00BF373F">
        <w:rPr>
          <w:rFonts w:ascii="Times New Roman" w:eastAsia="Times New Roman" w:hAnsi="Times New Roman" w:cs="Times New Roman"/>
          <w:color w:val="000000"/>
        </w:rPr>
        <w:br/>
      </w:r>
      <w:r w:rsidRPr="00447D2A">
        <w:rPr>
          <w:rFonts w:ascii="Times New Roman" w:eastAsia="Times New Roman" w:hAnsi="Times New Roman" w:cs="Times New Roman"/>
          <w:color w:val="000000"/>
        </w:rPr>
        <w:t>c’est-à-dire : les salaires et indemnités dus au personnel, les impôts et taxes dus aux administrations fiscales, les cotisations dues aux organismes sociaux,</w:t>
      </w:r>
    </w:p>
    <w:p w14:paraId="32A89FC0" w14:textId="77777777" w:rsidR="00447D2A" w:rsidRPr="00447D2A" w:rsidRDefault="00447D2A" w:rsidP="0061073F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A05496B" w14:textId="77777777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Les dettes à l'égard de créanciers et banques garantis par des hypothèques, des nantissements ou des</w:t>
      </w:r>
      <w:r w:rsidRPr="00447D2A">
        <w:rPr>
          <w:rFonts w:ascii="Times New Roman" w:eastAsia="Times New Roman" w:hAnsi="Times New Roman" w:cs="Times New Roman"/>
          <w:color w:val="000000"/>
        </w:rPr>
        <w:t xml:space="preserve"> </w:t>
      </w:r>
      <w:r w:rsidRPr="00447D2A">
        <w:rPr>
          <w:rFonts w:ascii="Times New Roman" w:eastAsia="Arial" w:hAnsi="Times New Roman" w:cs="Times New Roman"/>
          <w:color w:val="000000"/>
        </w:rPr>
        <w:t>privilèges spéciaux ou toutes sûretés doivent y être mentionnées,</w:t>
      </w:r>
    </w:p>
    <w:p w14:paraId="07DE37FC" w14:textId="77777777" w:rsidR="00447D2A" w:rsidRPr="00447D2A" w:rsidRDefault="00447D2A" w:rsidP="0061073F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316752B" w14:textId="2A22DB6B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Les dettes à l'égard de créanciers non privilégiés</w:t>
      </w:r>
      <w:r w:rsidR="00072D9D">
        <w:rPr>
          <w:rFonts w:ascii="Times New Roman" w:eastAsia="Arial" w:hAnsi="Times New Roman" w:cs="Times New Roman"/>
          <w:color w:val="000000"/>
        </w:rPr>
        <w:t xml:space="preserve"> (chirographaires)</w:t>
      </w:r>
      <w:r w:rsidRPr="00447D2A">
        <w:rPr>
          <w:rFonts w:ascii="Times New Roman" w:eastAsia="Arial" w:hAnsi="Times New Roman" w:cs="Times New Roman"/>
          <w:color w:val="000000"/>
        </w:rPr>
        <w:t>, c'est à dire généralement les fournisseurs, les banques pour les sommes qui ne sont pas garanties, et les associés pour leurs avances en compte courant,</w:t>
      </w:r>
    </w:p>
    <w:p w14:paraId="3F99DC6C" w14:textId="77777777" w:rsidR="00447D2A" w:rsidRPr="00447D2A" w:rsidRDefault="00447D2A" w:rsidP="003A6B18">
      <w:pPr>
        <w:spacing w:after="0" w:line="240" w:lineRule="auto"/>
        <w:ind w:left="851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0CA9E0FF" w14:textId="6B66A7CD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Dans tous les cas, il y a lieu de mentionner complètement et lisiblement les noms des créanciers, leurs adresses et leurs références</w:t>
      </w:r>
      <w:r w:rsidR="00072D9D">
        <w:rPr>
          <w:rFonts w:ascii="Times New Roman" w:eastAsia="Arial" w:hAnsi="Times New Roman" w:cs="Times New Roman"/>
          <w:color w:val="000000"/>
        </w:rPr>
        <w:t xml:space="preserve"> et </w:t>
      </w:r>
      <w:r w:rsidRPr="00447D2A">
        <w:rPr>
          <w:rFonts w:ascii="Times New Roman" w:eastAsia="Arial" w:hAnsi="Times New Roman" w:cs="Times New Roman"/>
          <w:color w:val="000000"/>
        </w:rPr>
        <w:t>de différencier les dettes échues de celles à échoir (payables à terme).</w:t>
      </w:r>
    </w:p>
    <w:p w14:paraId="6C294E3B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07AB2519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4BBAE6B4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>L'intercalaire ENGAGEMENT HORS BILAN</w:t>
      </w:r>
      <w:r w:rsidRPr="0094588C">
        <w:rPr>
          <w:rFonts w:ascii="Times New Roman" w:eastAsia="Arial" w:hAnsi="Times New Roman" w:cs="Times New Roman"/>
          <w:i/>
          <w:color w:val="1F497D" w:themeColor="text2"/>
        </w:rPr>
        <w:t xml:space="preserve"> est destiné à déclarer :</w:t>
      </w:r>
    </w:p>
    <w:p w14:paraId="5C317130" w14:textId="77777777" w:rsidR="00447D2A" w:rsidRPr="00447D2A" w:rsidRDefault="00447D2A" w:rsidP="00447D2A">
      <w:pPr>
        <w:tabs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6FD02A8E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Les montants des cautions, qui ont été données par l'entreprise débitrice pour garantir les engagements d'autres entreprises,</w:t>
      </w:r>
    </w:p>
    <w:p w14:paraId="1FFD8DE9" w14:textId="77777777" w:rsidR="00447D2A" w:rsidRPr="00447D2A" w:rsidRDefault="00447D2A" w:rsidP="0061073F">
      <w:p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</w:p>
    <w:p w14:paraId="5D39F517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Les montants restant à payer jusqu'à l'issue des contrats de crédit-bail souscrits par l'entreprise débitrice,</w:t>
      </w:r>
    </w:p>
    <w:p w14:paraId="137C5E35" w14:textId="77777777" w:rsidR="00447D2A" w:rsidRPr="00447D2A" w:rsidRDefault="00447D2A" w:rsidP="0061073F">
      <w:p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</w:p>
    <w:p w14:paraId="2536CB7B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 prix des marchandises et des biens mobiliers faisant partie de l'actif de l'entreprise mais affectés d'une réserve de propriété au profit de leur vendeur,</w:t>
      </w:r>
    </w:p>
    <w:p w14:paraId="4228F850" w14:textId="77777777" w:rsidR="00447D2A" w:rsidRPr="00447D2A" w:rsidRDefault="00447D2A" w:rsidP="00447D2A">
      <w:pPr>
        <w:tabs>
          <w:tab w:val="left" w:pos="851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38CAEB9B" w14:textId="2284FDBB" w:rsidR="006157D0" w:rsidRPr="00020E34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Dans tous les cas, il y a lieu de mentionner complètement et lisiblement les noms, adresses et références des bénéficiaires des cautions et des réserves de propriété, des organismes de crédit-bail, et de chiffrer les créances correspondantes. Mais ces créances ne sont pas à additionner aux dettes figurant sur les intercalaires PASSIF.</w:t>
      </w:r>
      <w:r w:rsidR="006157D0">
        <w:rPr>
          <w:rFonts w:eastAsia="Arial"/>
          <w:color w:val="000000"/>
        </w:rPr>
        <w:br w:type="page"/>
      </w:r>
    </w:p>
    <w:p w14:paraId="5BBD6B47" w14:textId="77777777" w:rsidR="0094588C" w:rsidRDefault="0094588C" w:rsidP="00CC459E">
      <w:pPr>
        <w:spacing w:after="0"/>
        <w:ind w:left="-2268"/>
        <w:jc w:val="both"/>
        <w:textAlignment w:val="baseline"/>
        <w:rPr>
          <w:rFonts w:eastAsia="Arial"/>
          <w:color w:val="000000"/>
        </w:rPr>
        <w:sectPr w:rsidR="0094588C" w:rsidSect="004562A6">
          <w:headerReference w:type="default" r:id="rId8"/>
          <w:pgSz w:w="11906" w:h="16838"/>
          <w:pgMar w:top="1134" w:right="1418" w:bottom="1134" w:left="1418" w:header="709" w:footer="709" w:gutter="0"/>
          <w:pgNumType w:fmt="upperLetter"/>
          <w:cols w:space="708"/>
          <w:docGrid w:linePitch="360"/>
        </w:sectPr>
      </w:pPr>
    </w:p>
    <w:p w14:paraId="4C05E078" w14:textId="7F624017" w:rsidR="006D0E0E" w:rsidRPr="00A805EB" w:rsidRDefault="006D0E0E" w:rsidP="006D0E0E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</w:pPr>
      <w:r w:rsidRPr="00A80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lastRenderedPageBreak/>
        <w:t>LISTE DES PIECES A JOINDRE A VOTRE DOSSIER DE DEMANDE D’OUVERTURE DE LIQUIDATION JUDICIAIRE AVEC RETABLISSEMENT PROFESSIONNEL</w:t>
      </w:r>
    </w:p>
    <w:p w14:paraId="46D5700A" w14:textId="77777777" w:rsidR="0020517B" w:rsidRDefault="0020517B" w:rsidP="002051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</w:p>
    <w:p w14:paraId="05381B7F" w14:textId="77777777" w:rsidR="0020517B" w:rsidRPr="008D2DE5" w:rsidRDefault="0020517B" w:rsidP="002051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  <w:r w:rsidRPr="008D2DE5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 xml:space="preserve">En un seul exemplaire </w:t>
      </w:r>
    </w:p>
    <w:p w14:paraId="5483897D" w14:textId="70DC2BF0" w:rsidR="0020517B" w:rsidRDefault="0020517B" w:rsidP="0020517B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La copie d’une pièce d’identité</w:t>
      </w:r>
      <w:r w:rsidR="006E13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commerçant </w:t>
      </w:r>
      <w:r w:rsidR="006E13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de l’artisan 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</w:t>
      </w:r>
      <w:r w:rsidR="006E13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553E5CA5" w14:textId="77777777" w:rsidR="0020517B" w:rsidRPr="008D2DE5" w:rsidRDefault="0020517B" w:rsidP="0020517B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extrait d’inscription au Registre du Commerce et des Sociétés </w:t>
      </w:r>
      <w:r w:rsidRPr="008D2DE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datant du jour du dépôt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(à prendre au guichet ou à commander sur Infogreffe)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 Répertoire des métiers</w:t>
      </w:r>
    </w:p>
    <w:p w14:paraId="547516C8" w14:textId="77777777" w:rsidR="0020517B" w:rsidRPr="008D2DE5" w:rsidRDefault="0020517B" w:rsidP="0020517B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(Il convient que l’entreprise soit identifiée sans risque d’erreur) ;</w:t>
      </w:r>
    </w:p>
    <w:p w14:paraId="2AF7E5A0" w14:textId="77777777" w:rsidR="0020517B" w:rsidRPr="008D2DE5" w:rsidRDefault="0020517B" w:rsidP="0020517B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8D2D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03310558" w14:textId="77777777" w:rsidR="0020517B" w:rsidRPr="008D2DE5" w:rsidRDefault="0020517B" w:rsidP="0020517B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état des privilèges et nantissements, c’est-à-dire un état d’endettement complet </w:t>
      </w:r>
      <w:r w:rsidRPr="003948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datant du jour du dépôt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(à prendre au guichet ou à commander sur Infogreffe)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AA6A8C2" w14:textId="77777777" w:rsidR="0020517B" w:rsidRPr="008D2DE5" w:rsidRDefault="0020517B" w:rsidP="0020517B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8D2D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36A4DF44" w14:textId="77777777" w:rsidR="0020517B" w:rsidRPr="00C44E99" w:rsidRDefault="0020517B" w:rsidP="0020517B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Comptes annuels du dernier exercice 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(en votre possession)</w:t>
      </w: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6E15F46E" w14:textId="77777777" w:rsidR="0020517B" w:rsidRPr="008D2DE5" w:rsidRDefault="0020517B" w:rsidP="0020517B">
      <w:pPr>
        <w:numPr>
          <w:ilvl w:val="0"/>
          <w:numId w:val="20"/>
        </w:numPr>
        <w:spacing w:after="0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Situation de trésorerie de moins d’un mois</w:t>
      </w:r>
      <w:r w:rsidRPr="008D2DE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 xml:space="preserve"> (dernier relevé de banque) </w:t>
      </w:r>
      <w:r w:rsidRPr="008D2D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</w:p>
    <w:p w14:paraId="7324531B" w14:textId="77777777" w:rsidR="0020517B" w:rsidRPr="008D2DE5" w:rsidRDefault="0020517B" w:rsidP="006E1344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926F9A" w14:textId="2800FA54" w:rsidR="00E017A8" w:rsidRPr="00876A3B" w:rsidRDefault="0020517B" w:rsidP="006E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2DE5">
        <w:rPr>
          <w:rFonts w:ascii="Times New Roman" w:eastAsia="Times New Roman" w:hAnsi="Times New Roman" w:cs="Times New Roman"/>
          <w:sz w:val="24"/>
          <w:szCs w:val="24"/>
          <w:lang w:eastAsia="fr-FR"/>
        </w:rPr>
        <w:t>Si l’un de ces documents ne peut être fourni ou ne peut l’être qu’incomplètement, la demande doit indiquer les motifs qui empêchent cette production.</w:t>
      </w:r>
      <w:r w:rsidR="00E017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ce cas, </w:t>
      </w:r>
      <w:r w:rsidR="00E017A8" w:rsidRPr="00BE554D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>Ne pas oublier de remplir page 1</w:t>
      </w:r>
      <w:r w:rsidR="00E017A8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>0</w:t>
      </w:r>
      <w:r w:rsidR="00A1451E" w:rsidRPr="00A1451E">
        <w:rPr>
          <w:rFonts w:ascii="Times New Roman" w:eastAsia="Times New Roman" w:hAnsi="Times New Roman" w:cs="Times New Roman"/>
          <w:bCs/>
          <w:color w:val="0070C0"/>
          <w:spacing w:val="13"/>
          <w:sz w:val="24"/>
          <w:szCs w:val="24"/>
        </w:rPr>
        <w:t>.</w:t>
      </w:r>
      <w:r w:rsidR="00E017A8" w:rsidRPr="00BE554D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 xml:space="preserve"> </w:t>
      </w:r>
    </w:p>
    <w:p w14:paraId="388FB4A7" w14:textId="567AEFDC" w:rsidR="006400E3" w:rsidRPr="00A805EB" w:rsidRDefault="006400E3" w:rsidP="0000075F">
      <w:pPr>
        <w:spacing w:after="0" w:line="240" w:lineRule="auto"/>
        <w:textAlignment w:val="baseline"/>
        <w:rPr>
          <w:rFonts w:ascii="Times New Roman" w:hAnsi="Times New Roman" w:cs="Times New Roman"/>
          <w:color w:val="0F0F0D"/>
          <w:sz w:val="21"/>
          <w:szCs w:val="21"/>
        </w:rPr>
      </w:pPr>
    </w:p>
    <w:sectPr w:rsidR="006400E3" w:rsidRPr="00A805EB" w:rsidSect="001738C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B19D" w14:textId="77777777" w:rsidR="007845B6" w:rsidRDefault="007845B6" w:rsidP="0094588C">
      <w:pPr>
        <w:spacing w:after="0" w:line="240" w:lineRule="auto"/>
      </w:pPr>
      <w:r>
        <w:separator/>
      </w:r>
    </w:p>
  </w:endnote>
  <w:endnote w:type="continuationSeparator" w:id="0">
    <w:p w14:paraId="24AA8FF7" w14:textId="77777777" w:rsidR="007845B6" w:rsidRDefault="007845B6" w:rsidP="009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AC35" w14:textId="77777777" w:rsidR="007845B6" w:rsidRDefault="007845B6" w:rsidP="0094588C">
      <w:pPr>
        <w:spacing w:after="0" w:line="240" w:lineRule="auto"/>
      </w:pPr>
      <w:r>
        <w:separator/>
      </w:r>
    </w:p>
  </w:footnote>
  <w:footnote w:type="continuationSeparator" w:id="0">
    <w:p w14:paraId="575926CB" w14:textId="77777777" w:rsidR="007845B6" w:rsidRDefault="007845B6" w:rsidP="009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6649706"/>
      <w:docPartObj>
        <w:docPartGallery w:val="Page Numbers (Top of Page)"/>
        <w:docPartUnique/>
      </w:docPartObj>
    </w:sdtPr>
    <w:sdtEndPr/>
    <w:sdtContent>
      <w:p w14:paraId="49EFE3D1" w14:textId="0BA5209B" w:rsidR="00C6286A" w:rsidRDefault="00C6286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EA956" w14:textId="77777777" w:rsidR="00C6286A" w:rsidRDefault="00C628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0C43"/>
    <w:multiLevelType w:val="multilevel"/>
    <w:tmpl w:val="0EA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54879"/>
    <w:multiLevelType w:val="multilevel"/>
    <w:tmpl w:val="10808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1F4378"/>
    <w:multiLevelType w:val="hybridMultilevel"/>
    <w:tmpl w:val="CB0295DC"/>
    <w:lvl w:ilvl="0" w:tplc="040C0017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648"/>
    <w:multiLevelType w:val="hybridMultilevel"/>
    <w:tmpl w:val="2D604B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3943"/>
    <w:multiLevelType w:val="hybridMultilevel"/>
    <w:tmpl w:val="698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C5298"/>
    <w:multiLevelType w:val="multilevel"/>
    <w:tmpl w:val="C2A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5424D"/>
    <w:multiLevelType w:val="multilevel"/>
    <w:tmpl w:val="96DAC2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33F62E3E"/>
    <w:multiLevelType w:val="hybridMultilevel"/>
    <w:tmpl w:val="1362E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478D"/>
    <w:multiLevelType w:val="hybridMultilevel"/>
    <w:tmpl w:val="697C2B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FD1A9D"/>
    <w:multiLevelType w:val="multilevel"/>
    <w:tmpl w:val="7B9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5373C"/>
    <w:multiLevelType w:val="multilevel"/>
    <w:tmpl w:val="5BC4E7F2"/>
    <w:lvl w:ilvl="0">
      <w:start w:val="1"/>
      <w:numFmt w:val="decimal"/>
      <w:lvlText w:val="(%1)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33346"/>
    <w:multiLevelType w:val="hybridMultilevel"/>
    <w:tmpl w:val="1A5E03AE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 w15:restartNumberingAfterBreak="0">
    <w:nsid w:val="4BE257B2"/>
    <w:multiLevelType w:val="multilevel"/>
    <w:tmpl w:val="E8BE8088"/>
    <w:lvl w:ilvl="0">
      <w:start w:val="1"/>
      <w:numFmt w:val="decimal"/>
      <w:lvlText w:val="%1"/>
      <w:lvlJc w:val="left"/>
      <w:pPr>
        <w:tabs>
          <w:tab w:val="left" w:pos="1778"/>
        </w:tabs>
        <w:ind w:left="2138"/>
      </w:pPr>
      <w:rPr>
        <w:rFonts w:ascii="Arial" w:eastAsia="Arial" w:hAnsi="Arial" w:cs="Times New Roman"/>
        <w:i/>
        <w:strike w:val="0"/>
        <w:color w:val="1F497D" w:themeColor="text2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074E00"/>
    <w:multiLevelType w:val="multilevel"/>
    <w:tmpl w:val="42AE96C8"/>
    <w:lvl w:ilvl="0">
      <w:start w:val="1"/>
      <w:numFmt w:val="bullet"/>
      <w:lvlText w:val="·"/>
      <w:lvlJc w:val="left"/>
      <w:pPr>
        <w:tabs>
          <w:tab w:val="left" w:pos="3312"/>
        </w:tabs>
        <w:ind w:left="37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501DCA"/>
    <w:multiLevelType w:val="hybridMultilevel"/>
    <w:tmpl w:val="A18CDFC6"/>
    <w:lvl w:ilvl="0" w:tplc="364C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F07F2"/>
    <w:multiLevelType w:val="hybridMultilevel"/>
    <w:tmpl w:val="AA561C38"/>
    <w:lvl w:ilvl="0" w:tplc="B6C2E47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80B6572"/>
    <w:multiLevelType w:val="multilevel"/>
    <w:tmpl w:val="1DA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6071C"/>
    <w:multiLevelType w:val="hybridMultilevel"/>
    <w:tmpl w:val="E95CFB1C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8" w15:restartNumberingAfterBreak="0">
    <w:nsid w:val="633F24DA"/>
    <w:multiLevelType w:val="hybridMultilevel"/>
    <w:tmpl w:val="0894698C"/>
    <w:lvl w:ilvl="0" w:tplc="D7268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B1CD1"/>
    <w:multiLevelType w:val="hybridMultilevel"/>
    <w:tmpl w:val="624EA44A"/>
    <w:lvl w:ilvl="0" w:tplc="48C40516">
      <w:start w:val="1"/>
      <w:numFmt w:val="decimal"/>
      <w:lvlText w:val="%1."/>
      <w:lvlJc w:val="left"/>
      <w:pPr>
        <w:ind w:left="-10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0" w15:restartNumberingAfterBreak="0">
    <w:nsid w:val="66B50C07"/>
    <w:multiLevelType w:val="hybridMultilevel"/>
    <w:tmpl w:val="1C9C175A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 w15:restartNumberingAfterBreak="0">
    <w:nsid w:val="67B139C7"/>
    <w:multiLevelType w:val="hybridMultilevel"/>
    <w:tmpl w:val="979CE27E"/>
    <w:lvl w:ilvl="0" w:tplc="04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694D7F15"/>
    <w:multiLevelType w:val="multilevel"/>
    <w:tmpl w:val="42C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846A1A"/>
    <w:multiLevelType w:val="hybridMultilevel"/>
    <w:tmpl w:val="4FA283B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D896DFF"/>
    <w:multiLevelType w:val="hybridMultilevel"/>
    <w:tmpl w:val="98E897AA"/>
    <w:lvl w:ilvl="0" w:tplc="2C1EEB7C">
      <w:start w:val="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78E956C3"/>
    <w:multiLevelType w:val="hybridMultilevel"/>
    <w:tmpl w:val="8BC448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CB3B3E"/>
    <w:multiLevelType w:val="hybridMultilevel"/>
    <w:tmpl w:val="16FC3B54"/>
    <w:lvl w:ilvl="0" w:tplc="040C0017">
      <w:start w:val="1"/>
      <w:numFmt w:val="lowerLetter"/>
      <w:lvlText w:val="%1)"/>
      <w:lvlJc w:val="left"/>
      <w:pPr>
        <w:ind w:left="2988" w:hanging="360"/>
      </w:pPr>
      <w:rPr>
        <w:b w:val="0"/>
        <w:bCs w:val="0"/>
        <w:i/>
        <w:iCs/>
      </w:r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19"/>
  </w:num>
  <w:num w:numId="8">
    <w:abstractNumId w:val="11"/>
  </w:num>
  <w:num w:numId="9">
    <w:abstractNumId w:val="12"/>
  </w:num>
  <w:num w:numId="10">
    <w:abstractNumId w:val="26"/>
  </w:num>
  <w:num w:numId="11">
    <w:abstractNumId w:val="2"/>
  </w:num>
  <w:num w:numId="12">
    <w:abstractNumId w:val="7"/>
  </w:num>
  <w:num w:numId="13">
    <w:abstractNumId w:val="3"/>
  </w:num>
  <w:num w:numId="14">
    <w:abstractNumId w:val="20"/>
  </w:num>
  <w:num w:numId="15">
    <w:abstractNumId w:val="25"/>
  </w:num>
  <w:num w:numId="16">
    <w:abstractNumId w:val="14"/>
  </w:num>
  <w:num w:numId="17">
    <w:abstractNumId w:val="24"/>
  </w:num>
  <w:num w:numId="18">
    <w:abstractNumId w:val="13"/>
  </w:num>
  <w:num w:numId="19">
    <w:abstractNumId w:val="10"/>
  </w:num>
  <w:num w:numId="20">
    <w:abstractNumId w:val="16"/>
  </w:num>
  <w:num w:numId="21">
    <w:abstractNumId w:val="4"/>
  </w:num>
  <w:num w:numId="22">
    <w:abstractNumId w:val="8"/>
  </w:num>
  <w:num w:numId="23">
    <w:abstractNumId w:val="15"/>
  </w:num>
  <w:num w:numId="24">
    <w:abstractNumId w:val="0"/>
  </w:num>
  <w:num w:numId="25">
    <w:abstractNumId w:val="9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7"/>
    <w:rsid w:val="0000075F"/>
    <w:rsid w:val="00020E34"/>
    <w:rsid w:val="00025A8F"/>
    <w:rsid w:val="000306FC"/>
    <w:rsid w:val="0004705F"/>
    <w:rsid w:val="0006490C"/>
    <w:rsid w:val="00072D9D"/>
    <w:rsid w:val="00076EDF"/>
    <w:rsid w:val="00086540"/>
    <w:rsid w:val="000A0F75"/>
    <w:rsid w:val="000F1D62"/>
    <w:rsid w:val="000F7B01"/>
    <w:rsid w:val="0010354A"/>
    <w:rsid w:val="00116351"/>
    <w:rsid w:val="0013417C"/>
    <w:rsid w:val="001400A2"/>
    <w:rsid w:val="00153FB1"/>
    <w:rsid w:val="001738C0"/>
    <w:rsid w:val="00190B3E"/>
    <w:rsid w:val="001A50EE"/>
    <w:rsid w:val="001B3109"/>
    <w:rsid w:val="001D603B"/>
    <w:rsid w:val="001E585C"/>
    <w:rsid w:val="001F35CE"/>
    <w:rsid w:val="0020517B"/>
    <w:rsid w:val="00213956"/>
    <w:rsid w:val="00226D12"/>
    <w:rsid w:val="00254965"/>
    <w:rsid w:val="0029705F"/>
    <w:rsid w:val="002A2C42"/>
    <w:rsid w:val="002B3E8B"/>
    <w:rsid w:val="002D0052"/>
    <w:rsid w:val="002F0638"/>
    <w:rsid w:val="002F7AA3"/>
    <w:rsid w:val="00321BF3"/>
    <w:rsid w:val="00332204"/>
    <w:rsid w:val="00351555"/>
    <w:rsid w:val="003948DF"/>
    <w:rsid w:val="003A6B18"/>
    <w:rsid w:val="003B787F"/>
    <w:rsid w:val="003C0FE7"/>
    <w:rsid w:val="003C4C14"/>
    <w:rsid w:val="003F3D68"/>
    <w:rsid w:val="00405FCE"/>
    <w:rsid w:val="004075ED"/>
    <w:rsid w:val="00447D2A"/>
    <w:rsid w:val="004562A6"/>
    <w:rsid w:val="00492906"/>
    <w:rsid w:val="004A315F"/>
    <w:rsid w:val="004C041A"/>
    <w:rsid w:val="004F659D"/>
    <w:rsid w:val="0052357E"/>
    <w:rsid w:val="00554EC5"/>
    <w:rsid w:val="00576997"/>
    <w:rsid w:val="005C76EB"/>
    <w:rsid w:val="006022AB"/>
    <w:rsid w:val="0061073F"/>
    <w:rsid w:val="006157D0"/>
    <w:rsid w:val="00620426"/>
    <w:rsid w:val="006400E3"/>
    <w:rsid w:val="00654D38"/>
    <w:rsid w:val="00674671"/>
    <w:rsid w:val="00687C33"/>
    <w:rsid w:val="006C5D17"/>
    <w:rsid w:val="006D0E0E"/>
    <w:rsid w:val="006E1344"/>
    <w:rsid w:val="006E1413"/>
    <w:rsid w:val="00710198"/>
    <w:rsid w:val="0071260B"/>
    <w:rsid w:val="00740FED"/>
    <w:rsid w:val="00750247"/>
    <w:rsid w:val="007845B6"/>
    <w:rsid w:val="00786FEC"/>
    <w:rsid w:val="00791182"/>
    <w:rsid w:val="00795BED"/>
    <w:rsid w:val="007A47ED"/>
    <w:rsid w:val="007E716F"/>
    <w:rsid w:val="008066FC"/>
    <w:rsid w:val="00817FDB"/>
    <w:rsid w:val="0087266C"/>
    <w:rsid w:val="008D2DE5"/>
    <w:rsid w:val="008F3A3B"/>
    <w:rsid w:val="009007E9"/>
    <w:rsid w:val="0094588C"/>
    <w:rsid w:val="00946F4D"/>
    <w:rsid w:val="0095324B"/>
    <w:rsid w:val="0099574C"/>
    <w:rsid w:val="00995F20"/>
    <w:rsid w:val="009B13DF"/>
    <w:rsid w:val="009D1EF2"/>
    <w:rsid w:val="009E3CD1"/>
    <w:rsid w:val="00A00EEE"/>
    <w:rsid w:val="00A1451E"/>
    <w:rsid w:val="00A43E89"/>
    <w:rsid w:val="00A46F88"/>
    <w:rsid w:val="00A805EB"/>
    <w:rsid w:val="00A90F40"/>
    <w:rsid w:val="00AB5D8C"/>
    <w:rsid w:val="00B345BB"/>
    <w:rsid w:val="00B472C8"/>
    <w:rsid w:val="00B923F6"/>
    <w:rsid w:val="00BE4240"/>
    <w:rsid w:val="00BF3488"/>
    <w:rsid w:val="00BF373F"/>
    <w:rsid w:val="00C115A4"/>
    <w:rsid w:val="00C147D6"/>
    <w:rsid w:val="00C44E99"/>
    <w:rsid w:val="00C54F52"/>
    <w:rsid w:val="00C6286A"/>
    <w:rsid w:val="00C76874"/>
    <w:rsid w:val="00C8727E"/>
    <w:rsid w:val="00C90D05"/>
    <w:rsid w:val="00CC3515"/>
    <w:rsid w:val="00CC459E"/>
    <w:rsid w:val="00CE5CE6"/>
    <w:rsid w:val="00D03A0A"/>
    <w:rsid w:val="00D50982"/>
    <w:rsid w:val="00D50EDC"/>
    <w:rsid w:val="00D53149"/>
    <w:rsid w:val="00DA33CF"/>
    <w:rsid w:val="00DA6343"/>
    <w:rsid w:val="00DB4188"/>
    <w:rsid w:val="00DC24C6"/>
    <w:rsid w:val="00E017A8"/>
    <w:rsid w:val="00E106D2"/>
    <w:rsid w:val="00E6591F"/>
    <w:rsid w:val="00E66B9C"/>
    <w:rsid w:val="00E729AE"/>
    <w:rsid w:val="00E919E3"/>
    <w:rsid w:val="00E97DB6"/>
    <w:rsid w:val="00EA52B9"/>
    <w:rsid w:val="00EB17DF"/>
    <w:rsid w:val="00F058C3"/>
    <w:rsid w:val="00F110C6"/>
    <w:rsid w:val="00F23417"/>
    <w:rsid w:val="00F42549"/>
    <w:rsid w:val="00F53000"/>
    <w:rsid w:val="00F5713D"/>
    <w:rsid w:val="00F6374A"/>
    <w:rsid w:val="00FB0243"/>
    <w:rsid w:val="00FF0468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C7A6"/>
  <w15:docId w15:val="{64BD2F08-2885-4EB4-BEEF-EC92B9D0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417"/>
    <w:pPr>
      <w:ind w:left="720"/>
      <w:contextualSpacing/>
    </w:pPr>
  </w:style>
  <w:style w:type="paragraph" w:styleId="Titre">
    <w:name w:val="Title"/>
    <w:basedOn w:val="Normal"/>
    <w:link w:val="TitreCar"/>
    <w:qFormat/>
    <w:rsid w:val="0079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Car">
    <w:name w:val="Titre Car"/>
    <w:basedOn w:val="Policepardfaut"/>
    <w:link w:val="Titre"/>
    <w:rsid w:val="00791182"/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Lienhypertexte">
    <w:name w:val="Hyperlink"/>
    <w:rsid w:val="007911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310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88C"/>
  </w:style>
  <w:style w:type="paragraph" w:styleId="Pieddepage">
    <w:name w:val="footer"/>
    <w:basedOn w:val="Normal"/>
    <w:link w:val="Pieddepag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29C3-7F9F-4F61-A63C-CD1E955F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ckulacs</dc:creator>
  <cp:lastModifiedBy>Adeline ADDU. Duru</cp:lastModifiedBy>
  <cp:revision>3</cp:revision>
  <cp:lastPrinted>2020-08-11T08:24:00Z</cp:lastPrinted>
  <dcterms:created xsi:type="dcterms:W3CDTF">2020-08-21T14:12:00Z</dcterms:created>
  <dcterms:modified xsi:type="dcterms:W3CDTF">2020-08-21T14:13:00Z</dcterms:modified>
</cp:coreProperties>
</file>